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D4" w:rsidRPr="005B30D4" w:rsidRDefault="005B30D4" w:rsidP="005B30D4">
      <w:pPr>
        <w:spacing w:after="160" w:line="259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val="en-US" w:eastAsia="en-GB"/>
        </w:rPr>
      </w:pPr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bg-BG" w:eastAsia="en-GB"/>
        </w:rPr>
        <w:t xml:space="preserve">Техническа спецификация на два броя </w:t>
      </w:r>
      <w:proofErr w:type="spellStart"/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bg-BG" w:eastAsia="en-GB"/>
        </w:rPr>
        <w:t>мултипараметрични</w:t>
      </w:r>
      <w:proofErr w:type="spellEnd"/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bg-BG" w:eastAsia="en-GB"/>
        </w:rPr>
        <w:t xml:space="preserve"> високо специализирани </w:t>
      </w:r>
      <w:proofErr w:type="spellStart"/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bg-BG" w:eastAsia="en-GB"/>
        </w:rPr>
        <w:t>пациентни</w:t>
      </w:r>
      <w:proofErr w:type="spellEnd"/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bg-BG" w:eastAsia="en-GB"/>
        </w:rPr>
        <w:t xml:space="preserve"> монитори</w:t>
      </w:r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en-US" w:eastAsia="en-GB"/>
        </w:rPr>
        <w:t xml:space="preserve"> </w:t>
      </w:r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bg-BG" w:eastAsia="en-GB"/>
        </w:rPr>
        <w:t xml:space="preserve">с измерване на </w:t>
      </w:r>
      <w:r w:rsidRPr="005B30D4">
        <w:rPr>
          <w:rFonts w:ascii="Bookman Old Style" w:eastAsia="Times New Roman" w:hAnsi="Bookman Old Style" w:cs="Times New Roman"/>
          <w:b/>
          <w:sz w:val="28"/>
          <w:szCs w:val="28"/>
          <w:lang w:val="en-US" w:eastAsia="en-GB"/>
        </w:rPr>
        <w:t xml:space="preserve">CO2 </w:t>
      </w:r>
    </w:p>
    <w:p w:rsidR="005B30D4" w:rsidRPr="005B30D4" w:rsidRDefault="005B30D4" w:rsidP="005B30D4">
      <w:pPr>
        <w:spacing w:after="160" w:line="259" w:lineRule="auto"/>
        <w:rPr>
          <w:rFonts w:ascii="Bookman Old Style" w:eastAsia="Times New Roman" w:hAnsi="Bookman Old Style" w:cs="Times New Roman"/>
          <w:b/>
          <w:sz w:val="28"/>
          <w:szCs w:val="28"/>
          <w:lang w:val="bg-BG" w:eastAsia="en-GB"/>
        </w:rPr>
      </w:pP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Arial"/>
          <w:sz w:val="24"/>
          <w:szCs w:val="24"/>
          <w:lang w:val="bg-BG"/>
        </w:rPr>
      </w:pPr>
      <w:proofErr w:type="spellStart"/>
      <w:r w:rsidRPr="005B30D4">
        <w:rPr>
          <w:rFonts w:ascii="Bookman Old Style" w:eastAsia="Times New Roman" w:hAnsi="Bookman Old Style" w:cs="Arial"/>
          <w:sz w:val="24"/>
          <w:szCs w:val="24"/>
          <w:lang w:val="en-US"/>
        </w:rPr>
        <w:t>WiFi</w:t>
      </w:r>
      <w:proofErr w:type="spellEnd"/>
      <w:r w:rsidRPr="005B30D4">
        <w:rPr>
          <w:rFonts w:ascii="Bookman Old Style" w:eastAsia="Times New Roman" w:hAnsi="Bookman Old Style" w:cs="Arial"/>
          <w:sz w:val="24"/>
          <w:szCs w:val="24"/>
          <w:lang w:val="en-US"/>
        </w:rPr>
        <w:t xml:space="preserve"> </w:t>
      </w:r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 xml:space="preserve">модул за безжично свързване към съществуваща мониторна система.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Цветен Т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FT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>тъч-скрийн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>дисплей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,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>минимум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 15”.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Настройка чувствителността на управление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тъч-скрийн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дисплея.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Възможност всеки един параметър да се управлява и настройва директно, посредством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тъч-скрийн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дисплея, без това да налага влизане в менюто.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Пълно дублирано обслужване на менюто чрез функционален бутон.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Да притежава възможност за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мониториране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новородени, деца и възрастни.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CO2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модул за измерване </w:t>
      </w:r>
      <w:r w:rsidRPr="005B30D4">
        <w:rPr>
          <w:rFonts w:ascii="Bookman Old Style" w:eastAsia="YouYuan" w:hAnsi="Bookman Old Style" w:cs="Times New Roman"/>
          <w:sz w:val="24"/>
          <w:szCs w:val="24"/>
          <w:lang w:val="bg-BG"/>
        </w:rPr>
        <w:t>концентрацията на въглеродния двуокис на вдишаните газове</w:t>
      </w:r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 xml:space="preserve">, </w:t>
      </w:r>
      <w:bookmarkStart w:id="0" w:name="OLE_LINK27"/>
      <w:bookmarkStart w:id="1" w:name="OLE_LINK28"/>
      <w:r w:rsidRPr="005B30D4">
        <w:rPr>
          <w:rFonts w:ascii="Bookman Old Style" w:eastAsia="YouYuan" w:hAnsi="Bookman Old Style" w:cs="Times New Roman"/>
          <w:sz w:val="24"/>
          <w:szCs w:val="24"/>
          <w:lang w:val="bg-BG"/>
        </w:rPr>
        <w:t>концентрация на въглеродния двуокис в края на издишването</w:t>
      </w:r>
      <w:bookmarkEnd w:id="0"/>
      <w:bookmarkEnd w:id="1"/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 xml:space="preserve">, </w:t>
      </w:r>
      <w:proofErr w:type="spellStart"/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>крива</w:t>
      </w:r>
      <w:proofErr w:type="spellEnd"/>
      <w:r w:rsidRPr="005B30D4">
        <w:rPr>
          <w:rFonts w:ascii="Bookman Old Style" w:eastAsia="YouYuan" w:hAnsi="Bookman Old Style" w:cs="Times New Roman"/>
          <w:sz w:val="24"/>
          <w:szCs w:val="24"/>
          <w:lang w:val="bg-BG"/>
        </w:rPr>
        <w:t xml:space="preserve"> на </w:t>
      </w:r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>CO2.</w:t>
      </w:r>
      <w:r w:rsidRPr="005B30D4">
        <w:rPr>
          <w:rFonts w:ascii="Bookman Old Style" w:eastAsia="YouYuan" w:hAnsi="Bookman Old Style" w:cs="Times New Roman"/>
          <w:sz w:val="24"/>
          <w:szCs w:val="24"/>
          <w:lang w:val="bg-BG"/>
        </w:rPr>
        <w:t xml:space="preserve">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Да има възможност за промяна на отчитаните параметри в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mmHg,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kPa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или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%.</w:t>
      </w:r>
      <w:r w:rsidRPr="005B30D4">
        <w:rPr>
          <w:rFonts w:ascii="Bookman Old Style" w:eastAsia="YouYuan" w:hAnsi="Bookman Old Style" w:cs="Times New Roman"/>
          <w:sz w:val="24"/>
          <w:szCs w:val="24"/>
          <w:lang w:val="bg-BG"/>
        </w:rPr>
        <w:t>К</w:t>
      </w:r>
      <w:proofErr w:type="spellStart"/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>онсумативи</w:t>
      </w:r>
      <w:proofErr w:type="spellEnd"/>
      <w:r w:rsidRPr="005B30D4">
        <w:rPr>
          <w:rFonts w:ascii="Bookman Old Style" w:eastAsia="YouYuan" w:hAnsi="Bookman Old Style" w:cs="Times New Roman"/>
          <w:sz w:val="24"/>
          <w:szCs w:val="24"/>
          <w:lang w:val="bg-BG"/>
        </w:rPr>
        <w:t>те</w:t>
      </w:r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 xml:space="preserve"> </w:t>
      </w:r>
      <w:proofErr w:type="spellStart"/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>за</w:t>
      </w:r>
      <w:proofErr w:type="spellEnd"/>
      <w:r w:rsidRPr="005B30D4">
        <w:rPr>
          <w:rFonts w:ascii="Bookman Old Style" w:eastAsia="YouYuan" w:hAnsi="Bookman Old Style" w:cs="Times New Roman"/>
          <w:sz w:val="24"/>
          <w:szCs w:val="24"/>
          <w:lang w:val="en-GB"/>
        </w:rPr>
        <w:t xml:space="preserve"> CO2 </w:t>
      </w:r>
      <w:r w:rsidRPr="005B30D4">
        <w:rPr>
          <w:rFonts w:ascii="Bookman Old Style" w:eastAsia="YouYuan" w:hAnsi="Bookman Old Style" w:cs="Times New Roman"/>
          <w:sz w:val="24"/>
          <w:szCs w:val="24"/>
          <w:lang w:val="bg-BG"/>
        </w:rPr>
        <w:t>модула да не са строго специфични и да не са тип „ Затворена система“.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Модул за измерване на Неинвазивно кръвно налягане.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</w:t>
      </w:r>
    </w:p>
    <w:p w:rsidR="005B30D4" w:rsidRPr="005B30D4" w:rsidRDefault="005B30D4" w:rsidP="005B30D4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Да има възможност за промяна на отчитаните параметри в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mmHg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или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kPa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.</w:t>
      </w:r>
    </w:p>
    <w:p w:rsidR="005B30D4" w:rsidRPr="005B30D4" w:rsidRDefault="005B30D4" w:rsidP="005B30D4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Режимите на измерване да бъдат ръчен и автоматичен. </w:t>
      </w:r>
    </w:p>
    <w:p w:rsidR="005B30D4" w:rsidRPr="005B30D4" w:rsidRDefault="005B30D4" w:rsidP="005B30D4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При задаване на автоматичен режим интервалите до петата минута да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бъдате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през една минута; от петата до петнадесетата през пет; от тридесетата до сто и двадесетата, през тридесет. Да може да се настройва за автоматично измерване поне до 8 часа.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Оригинален модул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Massimo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за измерване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сатурацията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с оригинален датчик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Massimo,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осигуряващ възможност за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мониториране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по всяко време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перфузионния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индекс.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Да има възможност за промяна на скоростта на кривата на 12.5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mm/s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или 25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mm/s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Да има възможност за избор на източника за отчитане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пулсовата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честота. 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Да има възможност за избор за източника на алармата да бъде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пулсовата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честота или сърдечната честота. Да има възможност и за автоматичен избор.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Минимум два канала за измерване на инвазивно налягане: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Измерване на артериално налягане, съпроводено с възможност за нулиране;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Измерване на налягане от централен съд, съпроводено с възможност за нулиране;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lastRenderedPageBreak/>
        <w:t xml:space="preserve">Да има възможност за промяна на отчитаните параметри в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mmHg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или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kPa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.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Да има възможност за промяна на скоростта на кривата на 6.25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mm/s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,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12.5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mm/s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или 25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mm/s</w:t>
      </w:r>
    </w:p>
    <w:p w:rsidR="005B30D4" w:rsidRPr="005B30D4" w:rsidRDefault="005B30D4" w:rsidP="005B30D4">
      <w:pPr>
        <w:numPr>
          <w:ilvl w:val="0"/>
          <w:numId w:val="3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Регулирането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чуствителността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отчитане да е минимум в три стъпки.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Минимум два температурни канала. Възможност за отчитане на температурата в °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C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или °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F.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Да отчита и показва дихателната честота с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апнея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аларма.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Възможност за работа с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пациентен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кабел с 3 или 5 отвеждания, което да се избира от менюто на монитора и да не се налага той да бъде софтуерно препрограмиран. Кабелът с 5 отвеждания да бъде разглобяеми и да има възможност при необходимост да бъде сменяни конкретните отвеждания, а не заменян целия кабел.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Възможност за работа с две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литиево-йонни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акумулаторни батерии, които да осигуряват автономна работа на монитора минимум 9 часа. При работа с една акумулаторна батерия, мониторът да може да работи минимум 3,5 часа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при пълно натоварване.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Възможност за въвеждане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пациентни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данни посредством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тъч-скрийн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клавиатура появяваща се на дисплея.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284" w:hanging="284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Да притежава калкулатор за лекарства.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284" w:hanging="284"/>
        <w:contextualSpacing/>
        <w:rPr>
          <w:rFonts w:ascii="Bookman Old Style" w:eastAsia="Times New Roman" w:hAnsi="Bookman Old Style" w:cs="Arial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 xml:space="preserve">Да притежава вграден софтуер за изчисление на </w:t>
      </w:r>
      <w:proofErr w:type="spellStart"/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>хемодинамичните</w:t>
      </w:r>
      <w:proofErr w:type="spellEnd"/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 xml:space="preserve"> параметри на пациента.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284" w:hanging="284"/>
        <w:contextualSpacing/>
        <w:rPr>
          <w:rFonts w:ascii="Bookman Old Style" w:eastAsia="Times New Roman" w:hAnsi="Bookman Old Style" w:cs="Arial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>Да притежава вграден софтуер за изчисление на бъбречната функция на пациента.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284" w:hanging="284"/>
        <w:contextualSpacing/>
        <w:rPr>
          <w:rFonts w:ascii="Bookman Old Style" w:eastAsia="Times New Roman" w:hAnsi="Bookman Old Style" w:cs="Arial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 xml:space="preserve">Да притежава вграден софтуер за изчисление параметрите на </w:t>
      </w:r>
      <w:proofErr w:type="spellStart"/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>оксигенация</w:t>
      </w:r>
      <w:proofErr w:type="spellEnd"/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 xml:space="preserve"> на пациента.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284" w:hanging="284"/>
        <w:contextualSpacing/>
        <w:rPr>
          <w:rFonts w:ascii="Bookman Old Style" w:eastAsia="Times New Roman" w:hAnsi="Bookman Old Style" w:cs="Arial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Arial"/>
          <w:sz w:val="24"/>
          <w:szCs w:val="24"/>
          <w:lang w:val="bg-BG"/>
        </w:rPr>
        <w:t>Да притежава вграден софтуер за изчисление параметрите на вентилация на пациента.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Детекция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пейсмейкър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в случай, че е монтиран на пациента.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Възможност за извеждане на минимум три бутона за бърз достъп на екрана на монитора, които при желание на потребителя могат да бъдат сменяни.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Наличие на минимум два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USB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вход/изход порта, които да осигуряват: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Възможност за софтуерен ъпгрейд на монитора посредством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USB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памет, 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трансфер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пациентни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данни от един монитор към друг.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Наличие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LAN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конектор за вграждане в Централна мониторна система.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Опционално локален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термо-рекордер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събития.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Опционална възможност за изчисляване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хемодинамичните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параметри чрез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термо-дилуционен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метод.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Мониторът да поддържа минимум следните интерфейси: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Стандартен интерфейс с изобразяване на 2 ЕКГ криви на 2 различни отвеждания, избираеми от потребителя, крива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lastRenderedPageBreak/>
        <w:t xml:space="preserve">периферния пулс, крива на дишането, 2 криви на инвазивното налягане с възможност за избор на наименованието на следения параметър, крива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CO2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и цифрови стойности на всички следени параметри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Интерфейс с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трендове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за Пулс,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сатурация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, дишане, 2 инвазивни налягания,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CO2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в едно с криви с изобразяване на 2 ЕКГ криви на 2 различни отвеждания, избираеми от потребителя, крива на периферния пулс, крива на дишането, 2 криви на инвазивното налягане, крива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CO2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и цифрови стойности на всички следени параметри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Интерфейс с „Големи числа“ и „Голям шрифт“ за сърдечната честота, кислородната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сатурация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и стойността на измереното неинвазивно кръвно налягане,  с изобразяване на едно ЕКГ отвеждане, избрано от потребителя, с показване стойностно на следеното инвазивно налягане и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CO2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параметри.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Интерфейс с изобразяване на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трендове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в едно с минимум 2 ЕКГ отвеждания, избрани от потребителя и с всички измерени стойности. </w:t>
      </w:r>
    </w:p>
    <w:p w:rsidR="005107A6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Интерфейс с изобразяване на 7 ЕКГ криви, крива на периферния пулс, крива на дишането, крива на артериалното налягане, крива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CO2.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Скорост на ЕКГ кривата на дисплея: 6.25 мм/с, 12.5мм/с, 25.0мм/с и 50 мм/с.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Регулиране усилването на  ЕКГ сигнала –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x1/8, x1/4, x 1/2, x1, x2, x4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и автоматично регулиране.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Автоматичен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сегментен анализ, вкл./ изкл.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анализа,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мониториране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,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стойности,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аларма, настройка на границите за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алармата, преглед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сегмента, определяне на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точката за анализ. Показване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ST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параметрите при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мониториране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пациента, заедно с останалите следени параметри.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Детекция и анализ на аритмии. Изображение на отвеждане с аритмия. Меню с параметрите на аритмията, настройка на алармата за аритмия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Памет до 700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аритмични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събития.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До 480 графични и таблични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трендове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следените параметри, 1000 записа за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en-GB"/>
        </w:rPr>
        <w:t xml:space="preserve">NIBP,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700 алармени събития – запаметяване и възможност за разглеждане на ЕКГ графиката и преглед на всички събития.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Запаметяване на ЕКГ данните за повече от 72 часа, с възможност за разглеждане на ЕКГ графиката по часове, минути и секунди.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Запаметяване на ЕКГ данните за повече от 72 часа, с възможност за разглеждане на ЕКГ графиката по часове, минути и секунди.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Възможност за пренастройване на всички алармени граници, визуална и звукова аларма с възможност за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намаляне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звука и пауза на алармата. Дублиране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назвуковата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аларма със светлинна с </w:t>
      </w: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lastRenderedPageBreak/>
        <w:t xml:space="preserve">различни степени на светлинна и звукова индикация. Възможност за пълно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исключване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 на звуковата аларма на всички нива. При пълно изключване на звуковата аларма на различните нива, светлинната да е активна.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 xml:space="preserve">Регулиране нивото на алармата минимум на 10 нива, както и възможност тя да се изключи напълно само чрез въвеждане на парола. </w:t>
      </w:r>
    </w:p>
    <w:p w:rsidR="005B30D4" w:rsidRPr="005B30D4" w:rsidRDefault="005B30D4" w:rsidP="005B30D4">
      <w:pPr>
        <w:numPr>
          <w:ilvl w:val="0"/>
          <w:numId w:val="2"/>
        </w:numPr>
        <w:tabs>
          <w:tab w:val="left" w:pos="0"/>
        </w:tabs>
        <w:spacing w:after="160" w:line="259" w:lineRule="auto"/>
        <w:ind w:left="360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Възможност за промяна на различните мерни единици от менюто на монитора за следените параметри: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Касаещи пациента – височина и тегло;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Инвазивно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и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неинвазивно</w:t>
      </w:r>
      <w:proofErr w:type="spellEnd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</w:t>
      </w:r>
      <w:proofErr w:type="spellStart"/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>налягане</w:t>
      </w:r>
      <w:proofErr w:type="spellEnd"/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bg-BG"/>
        </w:rPr>
        <w:t>Температура</w:t>
      </w:r>
    </w:p>
    <w:p w:rsidR="005B30D4" w:rsidRPr="005B30D4" w:rsidRDefault="005B30D4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Bookman Old Style" w:eastAsia="Times New Roman" w:hAnsi="Bookman Old Style" w:cs="Times New Roman"/>
          <w:sz w:val="24"/>
          <w:szCs w:val="24"/>
          <w:lang w:val="bg-BG"/>
        </w:rPr>
      </w:pPr>
      <w:r w:rsidRPr="005B30D4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ST </w:t>
      </w:r>
    </w:p>
    <w:p w:rsidR="005B30D4" w:rsidRPr="00C12C5C" w:rsidRDefault="00C12C5C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12C5C">
        <w:rPr>
          <w:rFonts w:ascii="Times New Roman" w:hAnsi="Times New Roman" w:cs="Times New Roman"/>
          <w:sz w:val="24"/>
          <w:szCs w:val="24"/>
          <w:lang w:val="en-US"/>
        </w:rPr>
        <w:t>CVP</w:t>
      </w:r>
    </w:p>
    <w:p w:rsidR="00C12C5C" w:rsidRPr="00C12C5C" w:rsidRDefault="00C12C5C" w:rsidP="005B30D4">
      <w:pPr>
        <w:numPr>
          <w:ilvl w:val="0"/>
          <w:numId w:val="1"/>
        </w:numPr>
        <w:tabs>
          <w:tab w:val="left" w:pos="0"/>
        </w:tabs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CO2</w:t>
      </w:r>
    </w:p>
    <w:p w:rsidR="00C12C5C" w:rsidRDefault="00C12C5C" w:rsidP="00C12C5C">
      <w:pPr>
        <w:tabs>
          <w:tab w:val="left" w:pos="0"/>
        </w:tabs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37.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Тегло не повече от 6</w:t>
      </w:r>
      <w:proofErr w:type="gramStart"/>
      <w:r>
        <w:rPr>
          <w:rFonts w:ascii="Times New Roman" w:hAnsi="Times New Roman" w:cs="Times New Roman"/>
          <w:sz w:val="24"/>
          <w:szCs w:val="24"/>
          <w:lang w:val="bg-BG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кг. с една батерия.</w:t>
      </w:r>
    </w:p>
    <w:p w:rsidR="0014729A" w:rsidRDefault="0014729A" w:rsidP="00C12C5C">
      <w:pPr>
        <w:tabs>
          <w:tab w:val="left" w:pos="0"/>
        </w:tabs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14729A" w:rsidRDefault="0014729A" w:rsidP="00C12C5C">
      <w:pPr>
        <w:tabs>
          <w:tab w:val="left" w:pos="0"/>
        </w:tabs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14729A" w:rsidRPr="00C12C5C" w:rsidRDefault="0014729A" w:rsidP="00C12C5C">
      <w:pPr>
        <w:tabs>
          <w:tab w:val="left" w:pos="0"/>
        </w:tabs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4729A">
        <w:rPr>
          <w:rFonts w:ascii="Times New Roman" w:hAnsi="Times New Roman" w:cs="Times New Roman"/>
          <w:b/>
          <w:i/>
          <w:sz w:val="24"/>
          <w:szCs w:val="24"/>
          <w:lang w:val="bg-BG"/>
        </w:rPr>
        <w:t>Или еквивалент на горепосочените спецификации.</w:t>
      </w:r>
      <w:bookmarkStart w:id="2" w:name="_GoBack"/>
      <w:bookmarkEnd w:id="2"/>
    </w:p>
    <w:sectPr w:rsidR="0014729A" w:rsidRPr="00C12C5C" w:rsidSect="005B30D4">
      <w:headerReference w:type="default" r:id="rId8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D2" w:rsidRDefault="007D66D2" w:rsidP="005B30D4">
      <w:pPr>
        <w:spacing w:after="0" w:line="240" w:lineRule="auto"/>
      </w:pPr>
      <w:r>
        <w:separator/>
      </w:r>
    </w:p>
  </w:endnote>
  <w:endnote w:type="continuationSeparator" w:id="0">
    <w:p w:rsidR="007D66D2" w:rsidRDefault="007D66D2" w:rsidP="005B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ouYuan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D2" w:rsidRDefault="007D66D2" w:rsidP="005B30D4">
      <w:pPr>
        <w:spacing w:after="0" w:line="240" w:lineRule="auto"/>
      </w:pPr>
      <w:r>
        <w:separator/>
      </w:r>
    </w:p>
  </w:footnote>
  <w:footnote w:type="continuationSeparator" w:id="0">
    <w:p w:rsidR="007D66D2" w:rsidRDefault="007D66D2" w:rsidP="005B3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D4" w:rsidRPr="005B30D4" w:rsidRDefault="005B30D4">
    <w:pPr>
      <w:pStyle w:val="Header"/>
      <w:rPr>
        <w:rFonts w:ascii="Times New Roman" w:hAnsi="Times New Roman" w:cs="Times New Roman"/>
        <w:sz w:val="24"/>
        <w:szCs w:val="24"/>
        <w:lang w:val="bg-BG"/>
      </w:rPr>
    </w:pPr>
    <w:r>
      <w:rPr>
        <w:rFonts w:ascii="Times New Roman" w:hAnsi="Times New Roman" w:cs="Times New Roman"/>
        <w:sz w:val="24"/>
        <w:szCs w:val="24"/>
        <w:lang w:val="bg-BG"/>
      </w:rPr>
      <w:t>СОП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E7AA1"/>
    <w:multiLevelType w:val="hybridMultilevel"/>
    <w:tmpl w:val="9A927CDE"/>
    <w:lvl w:ilvl="0" w:tplc="8A00959A">
      <w:start w:val="5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601728E"/>
    <w:multiLevelType w:val="hybridMultilevel"/>
    <w:tmpl w:val="24949EEC"/>
    <w:lvl w:ilvl="0" w:tplc="0D64171E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B77ED"/>
    <w:multiLevelType w:val="multilevel"/>
    <w:tmpl w:val="C2E42E1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cs="Times New Roman" w:hint="default"/>
      </w:rPr>
    </w:lvl>
  </w:abstractNum>
  <w:abstractNum w:abstractNumId="3">
    <w:nsid w:val="7A637BD4"/>
    <w:multiLevelType w:val="hybridMultilevel"/>
    <w:tmpl w:val="DFE60180"/>
    <w:lvl w:ilvl="0" w:tplc="5D388050">
      <w:start w:val="1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D4"/>
    <w:rsid w:val="0014729A"/>
    <w:rsid w:val="003A7A74"/>
    <w:rsid w:val="005107A6"/>
    <w:rsid w:val="005B30D4"/>
    <w:rsid w:val="007D66D2"/>
    <w:rsid w:val="00C12C5C"/>
    <w:rsid w:val="00C1304D"/>
    <w:rsid w:val="00EA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e-B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0D4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B30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0D4"/>
    <w:rPr>
      <w:lang w:val="be-BY"/>
    </w:rPr>
  </w:style>
  <w:style w:type="paragraph" w:styleId="Footer">
    <w:name w:val="footer"/>
    <w:basedOn w:val="Normal"/>
    <w:link w:val="FooterChar"/>
    <w:uiPriority w:val="99"/>
    <w:unhideWhenUsed/>
    <w:rsid w:val="005B30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0D4"/>
    <w:rPr>
      <w:lang w:val="be-B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e-BY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0D4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B30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0D4"/>
    <w:rPr>
      <w:lang w:val="be-BY"/>
    </w:rPr>
  </w:style>
  <w:style w:type="paragraph" w:styleId="Footer">
    <w:name w:val="footer"/>
    <w:basedOn w:val="Normal"/>
    <w:link w:val="FooterChar"/>
    <w:uiPriority w:val="99"/>
    <w:unhideWhenUsed/>
    <w:rsid w:val="005B30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0D4"/>
    <w:rPr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Ganchev</dc:creator>
  <cp:lastModifiedBy>Todor Ganchev</cp:lastModifiedBy>
  <cp:revision>2</cp:revision>
  <cp:lastPrinted>2016-08-30T09:10:00Z</cp:lastPrinted>
  <dcterms:created xsi:type="dcterms:W3CDTF">2016-08-30T11:10:00Z</dcterms:created>
  <dcterms:modified xsi:type="dcterms:W3CDTF">2016-08-30T11:10:00Z</dcterms:modified>
</cp:coreProperties>
</file>